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D1" w:rsidRPr="000E42D1" w:rsidRDefault="000E42D1" w:rsidP="000E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D1">
        <w:rPr>
          <w:rFonts w:ascii="Arial" w:eastAsia="Times New Roman" w:hAnsi="Arial" w:cs="Arial"/>
          <w:color w:val="504F4F"/>
          <w:sz w:val="16"/>
          <w:szCs w:val="16"/>
          <w:shd w:val="clear" w:color="auto" w:fill="FFFFFF"/>
          <w:lang w:eastAsia="ru-RU"/>
        </w:rPr>
        <w:t> </w:t>
      </w:r>
    </w:p>
    <w:p w:rsidR="000E42D1" w:rsidRPr="000E42D1" w:rsidRDefault="0080199F" w:rsidP="000E42D1">
      <w:pPr>
        <w:spacing w:after="115" w:line="323" w:lineRule="atLeast"/>
        <w:textAlignment w:val="top"/>
        <w:outlineLvl w:val="0"/>
        <w:rPr>
          <w:rFonts w:ascii="freesetdemic" w:eastAsia="Times New Roman" w:hAnsi="freesetdemic" w:cs="Arial"/>
          <w:caps/>
          <w:color w:val="0C0C0C"/>
          <w:kern w:val="36"/>
          <w:sz w:val="24"/>
          <w:szCs w:val="24"/>
          <w:lang w:eastAsia="ru-RU"/>
        </w:rPr>
      </w:pPr>
      <w:r>
        <w:rPr>
          <w:rFonts w:ascii="freesetdemic" w:eastAsia="Times New Roman" w:hAnsi="freesetdemic" w:cs="Arial"/>
          <w:caps/>
          <w:color w:val="0C0C0C"/>
          <w:kern w:val="36"/>
          <w:sz w:val="24"/>
          <w:szCs w:val="24"/>
          <w:lang w:eastAsia="ru-RU"/>
        </w:rPr>
        <w:t>ПоряДОК ПРОВЕДЕНИЯ ТО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Техническое обслуживание предназначено для поддержания автомобилей в исправном состоянии. Оно является профилактическим мероприятием, проводимым в плановом порядке.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Техническое обслуживание подразделяется на следующие этапы: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br/>
        <w:t>– техническое обслуживание в начальный период эксплуатации,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br/>
        <w:t>– техническое обслуживание в основной период эксплуатации.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В начальный период эксплуатации автомобиля выполняются следующие виды обслуживания: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br/>
        <w:t>– ежедневное обслуживание (ЕО) - выполняется силами водителей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br/>
        <w:t>– техническое обслуживание ТО-2500;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Техническое обслуживание в основной период эксплуатации подразделяется на следующие виды обслуживания: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br/>
        <w:t>– ежедневное обслуживание (ЕО) - выполняется силами водителей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br/>
        <w:t>– первое техническое обслуживание (ТО-1);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br/>
        <w:t>– второе техническое обслуживание (ТО-2);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br/>
        <w:t>– дополнительные сезонные работы, выполняемые один раз в год, осенью (СТО).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Ежедневное техническое обслуживание направлено на общий контроль состояния узлов и систем, обеспечивающих безопасность движения, поддержание надлежащего внешнего вида автомобиля и выполняется водителем.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Основным назначением технического обслуживания ТО-2500 является предупреждение появления неисправностей путем выполнения профилактических, регулировочных и смазочно-очистительных работ на новом автомобиле, так как в начальный период происходит интенсивная приработка элементов конструкции автомобилей.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Основным назначением первого, второго и дополнительных сезонных технических обслуживаний является выявление и предупреждение неисправностей путем своевременного выполнения контрольно-диагностических, крепежных, регулировочных и смазочно-очистительных работ.</w:t>
      </w:r>
    </w:p>
    <w:p w:rsidR="000E42D1" w:rsidRPr="000E42D1" w:rsidRDefault="000E42D1" w:rsidP="000E42D1">
      <w:pPr>
        <w:spacing w:before="100" w:beforeAutospacing="1" w:after="230" w:line="230" w:lineRule="atLeast"/>
        <w:jc w:val="righ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для неполноприводных и тяжелых автомобилей</w:t>
      </w:r>
    </w:p>
    <w:tbl>
      <w:tblPr>
        <w:tblW w:w="7776" w:type="dxa"/>
        <w:jc w:val="center"/>
        <w:tblCellMar>
          <w:left w:w="0" w:type="dxa"/>
          <w:right w:w="0" w:type="dxa"/>
        </w:tblCellMar>
        <w:tblLook w:val="04A0"/>
      </w:tblPr>
      <w:tblGrid>
        <w:gridCol w:w="289"/>
        <w:gridCol w:w="1973"/>
        <w:gridCol w:w="2757"/>
        <w:gridCol w:w="2757"/>
      </w:tblGrid>
      <w:tr w:rsidR="000E42D1" w:rsidRPr="000E42D1" w:rsidTr="000E42D1">
        <w:trPr>
          <w:trHeight w:val="64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№№</w:t>
            </w: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br/>
              <w:t>ТО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Наименование ТО</w:t>
            </w: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br/>
              <w:t>(в объеме регламентных работ)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 xml:space="preserve">Периодичность выполнения работ для 1-й категории условий </w:t>
            </w:r>
            <w:proofErr w:type="gramStart"/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эксплуатации</w:t>
            </w:r>
            <w:proofErr w:type="gramEnd"/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 xml:space="preserve"> а/м уровня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Евро-4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Евро-3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ТО-2500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ТО-1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через 25 000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через 10 000 км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ТО-2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через 50 000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через 30 000 км</w:t>
            </w:r>
          </w:p>
        </w:tc>
      </w:tr>
    </w:tbl>
    <w:p w:rsidR="000E42D1" w:rsidRPr="000E42D1" w:rsidRDefault="000E42D1" w:rsidP="000E42D1">
      <w:pPr>
        <w:spacing w:before="100" w:beforeAutospacing="1" w:after="230" w:line="230" w:lineRule="atLeast"/>
        <w:jc w:val="righ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для полноприводных автомобилей</w:t>
      </w:r>
    </w:p>
    <w:tbl>
      <w:tblPr>
        <w:tblW w:w="7776" w:type="dxa"/>
        <w:jc w:val="center"/>
        <w:tblCellMar>
          <w:left w:w="0" w:type="dxa"/>
          <w:right w:w="0" w:type="dxa"/>
        </w:tblCellMar>
        <w:tblLook w:val="04A0"/>
      </w:tblPr>
      <w:tblGrid>
        <w:gridCol w:w="289"/>
        <w:gridCol w:w="1973"/>
        <w:gridCol w:w="2757"/>
        <w:gridCol w:w="2757"/>
      </w:tblGrid>
      <w:tr w:rsidR="000E42D1" w:rsidRPr="000E42D1" w:rsidTr="000E42D1">
        <w:trPr>
          <w:trHeight w:val="64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№№</w:t>
            </w: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br/>
              <w:t>ТО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Наименование ТО</w:t>
            </w: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br/>
              <w:t>(в объеме регламентных работ)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 xml:space="preserve">Периодичность выполнения работ для 1-й категории условий </w:t>
            </w:r>
            <w:proofErr w:type="gramStart"/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эксплуатации</w:t>
            </w:r>
            <w:proofErr w:type="gramEnd"/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 xml:space="preserve"> а/м уровня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Евро-4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Евро-3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ТО-2500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ТО-1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через 10 000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через 5500 км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ТО-2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через 30 000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через 16500 км</w:t>
            </w:r>
          </w:p>
        </w:tc>
      </w:tr>
    </w:tbl>
    <w:p w:rsidR="000E42D1" w:rsidRPr="000E42D1" w:rsidRDefault="000E42D1" w:rsidP="000E42D1">
      <w:pPr>
        <w:spacing w:before="100" w:beforeAutospacing="1" w:after="230" w:line="230" w:lineRule="atLeast"/>
        <w:jc w:val="righ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Евро 5</w:t>
      </w:r>
    </w:p>
    <w:p w:rsidR="000E42D1" w:rsidRPr="000E42D1" w:rsidRDefault="000E42D1" w:rsidP="000E42D1">
      <w:pPr>
        <w:spacing w:before="100" w:beforeAutospacing="1" w:after="230" w:line="230" w:lineRule="atLeast"/>
        <w:jc w:val="righ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lastRenderedPageBreak/>
        <w:t>5490, 65206, 65207</w:t>
      </w:r>
    </w:p>
    <w:tbl>
      <w:tblPr>
        <w:tblW w:w="7776" w:type="dxa"/>
        <w:jc w:val="center"/>
        <w:tblCellMar>
          <w:left w:w="0" w:type="dxa"/>
          <w:right w:w="0" w:type="dxa"/>
        </w:tblCellMar>
        <w:tblLook w:val="04A0"/>
      </w:tblPr>
      <w:tblGrid>
        <w:gridCol w:w="338"/>
        <w:gridCol w:w="2320"/>
        <w:gridCol w:w="1706"/>
        <w:gridCol w:w="1706"/>
        <w:gridCol w:w="1706"/>
      </w:tblGrid>
      <w:tr w:rsidR="000E42D1" w:rsidRPr="000E42D1" w:rsidTr="000E42D1">
        <w:trPr>
          <w:trHeight w:val="64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№№</w:t>
            </w: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br/>
              <w:t>ТО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Наименование ТО</w:t>
            </w: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br/>
              <w:t>(в объеме регламентных работ)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Группа технического обслуживания*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С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ТО-2500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40 000</w:t>
            </w:r>
          </w:p>
        </w:tc>
      </w:tr>
    </w:tbl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b/>
          <w:bCs/>
          <w:color w:val="4A525C"/>
          <w:sz w:val="16"/>
          <w:szCs w:val="16"/>
          <w:lang w:eastAsia="ru-RU"/>
        </w:rPr>
        <w:t>*Группа А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. Грузовые автомобили для дальних международных перевозок с более 50% использования на автостраде.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b/>
          <w:bCs/>
          <w:color w:val="4A525C"/>
          <w:sz w:val="16"/>
          <w:szCs w:val="16"/>
          <w:lang w:eastAsia="ru-RU"/>
        </w:rPr>
        <w:t>*Группа В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. Грузовые автомобили для междугородних перевозок (магистральные), грузовые развозные автомобили; пожарные автомобили; грузовые автомобили, эксплуатируемые на строительных площадках; бетоносмесители.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b/>
          <w:bCs/>
          <w:color w:val="4A525C"/>
          <w:sz w:val="16"/>
          <w:szCs w:val="16"/>
          <w:lang w:eastAsia="ru-RU"/>
        </w:rPr>
        <w:t>*Группа С</w:t>
      </w: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. Автомобили-тягачи полной массой более 44 т; пожарные автомобили; грузовые автомобили, эксплуатируемые на строительных площадках; бетоносмесители.   Расход топлива указанных автомобилей превышает 12 л/ч при средней скорости движения 15-20 км/ч.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Допустимое отклонение от нормативов периодичности технического обслуживания, в основной период эксплуатации, составляет ±10%.</w:t>
      </w:r>
    </w:p>
    <w:p w:rsidR="000E42D1" w:rsidRPr="000E42D1" w:rsidRDefault="000E42D1" w:rsidP="000E42D1">
      <w:pPr>
        <w:spacing w:before="100" w:beforeAutospacing="1" w:after="230" w:line="230" w:lineRule="atLeast"/>
        <w:jc w:val="righ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Евро 5</w:t>
      </w:r>
    </w:p>
    <w:p w:rsidR="000E42D1" w:rsidRPr="000E42D1" w:rsidRDefault="000E42D1" w:rsidP="000E42D1">
      <w:pPr>
        <w:spacing w:before="100" w:beforeAutospacing="1" w:after="230" w:line="230" w:lineRule="atLeast"/>
        <w:jc w:val="righ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5490, 65206, 65207</w:t>
      </w:r>
    </w:p>
    <w:tbl>
      <w:tblPr>
        <w:tblW w:w="7776" w:type="dxa"/>
        <w:jc w:val="center"/>
        <w:tblCellMar>
          <w:left w:w="0" w:type="dxa"/>
          <w:right w:w="0" w:type="dxa"/>
        </w:tblCellMar>
        <w:tblLook w:val="04A0"/>
      </w:tblPr>
      <w:tblGrid>
        <w:gridCol w:w="338"/>
        <w:gridCol w:w="2320"/>
        <w:gridCol w:w="1706"/>
        <w:gridCol w:w="1706"/>
        <w:gridCol w:w="1706"/>
      </w:tblGrid>
      <w:tr w:rsidR="000E42D1" w:rsidRPr="000E42D1" w:rsidTr="000E42D1">
        <w:trPr>
          <w:trHeight w:val="64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№№</w:t>
            </w: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br/>
              <w:t>ТО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Наименование ТО</w:t>
            </w: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br/>
              <w:t>(в объеме регламентных работ)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E1E8"/>
            <w:vAlign w:val="center"/>
            <w:hideMark/>
          </w:tcPr>
          <w:p w:rsidR="000E42D1" w:rsidRPr="000E42D1" w:rsidRDefault="000E42D1" w:rsidP="000E42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Times New Roman" w:eastAsia="Times New Roman" w:hAnsi="Times New Roman" w:cs="Times New Roman"/>
                <w:b/>
                <w:bCs/>
                <w:color w:val="4A525C"/>
                <w:sz w:val="13"/>
                <w:szCs w:val="13"/>
                <w:lang w:eastAsia="ru-RU"/>
              </w:rPr>
              <w:t>Группа технического обслуживания*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III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ТО-2500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От 1 000 до 5 000 км</w:t>
            </w:r>
          </w:p>
        </w:tc>
      </w:tr>
      <w:tr w:rsidR="000E42D1" w:rsidRPr="000E42D1" w:rsidTr="000E42D1">
        <w:trPr>
          <w:jc w:val="center"/>
        </w:trPr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ТО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4" w:space="0" w:color="DCE1E8"/>
              <w:left w:val="single" w:sz="4" w:space="0" w:color="DCE1E8"/>
              <w:bottom w:val="single" w:sz="4" w:space="0" w:color="DCE1E8"/>
              <w:right w:val="single" w:sz="4" w:space="0" w:color="DCE1E8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E42D1" w:rsidRPr="000E42D1" w:rsidRDefault="000E42D1" w:rsidP="000E42D1">
            <w:pPr>
              <w:spacing w:after="0" w:line="207" w:lineRule="atLeast"/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</w:pPr>
            <w:r w:rsidRPr="000E42D1">
              <w:rPr>
                <w:rFonts w:ascii="Arial" w:eastAsia="Times New Roman" w:hAnsi="Arial" w:cs="Arial"/>
                <w:color w:val="4A525C"/>
                <w:sz w:val="13"/>
                <w:szCs w:val="13"/>
                <w:lang w:eastAsia="ru-RU"/>
              </w:rPr>
              <w:t>600 м/ч</w:t>
            </w:r>
          </w:p>
        </w:tc>
      </w:tr>
    </w:tbl>
    <w:p w:rsidR="000E42D1" w:rsidRPr="000E42D1" w:rsidRDefault="000E42D1" w:rsidP="000E42D1">
      <w:pPr>
        <w:spacing w:after="0" w:line="240" w:lineRule="auto"/>
        <w:textAlignment w:val="top"/>
        <w:rPr>
          <w:rFonts w:ascii="Arial" w:eastAsia="Times New Roman" w:hAnsi="Arial" w:cs="Arial"/>
          <w:color w:val="504F4F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b/>
          <w:bCs/>
          <w:color w:val="504F4F"/>
          <w:sz w:val="16"/>
          <w:szCs w:val="16"/>
          <w:lang w:eastAsia="ru-RU"/>
        </w:rPr>
        <w:t>* Категория условий эксплуатации определяется сервисным центром по количеству баллов в «Анкете владельца транспортного средства» и назначается в соответствии с рекомендациями для сотрудника сервисной службы автоцентра ПАО «КАМАЗ»  </w:t>
      </w:r>
      <w:r w:rsidRPr="000E42D1">
        <w:rPr>
          <w:rFonts w:ascii="Arial" w:eastAsia="Times New Roman" w:hAnsi="Arial" w:cs="Arial"/>
          <w:b/>
          <w:bCs/>
          <w:color w:val="504F4F"/>
          <w:sz w:val="16"/>
          <w:szCs w:val="16"/>
          <w:lang w:eastAsia="ru-RU"/>
        </w:rPr>
        <w:br/>
      </w:r>
      <w:r w:rsidRPr="000E42D1">
        <w:rPr>
          <w:rFonts w:ascii="Arial" w:eastAsia="Times New Roman" w:hAnsi="Arial" w:cs="Arial"/>
          <w:color w:val="504F4F"/>
          <w:sz w:val="16"/>
          <w:szCs w:val="16"/>
          <w:lang w:eastAsia="ru-RU"/>
        </w:rPr>
        <w:br/>
        <w:t>В основной период эксплуатации периодическое обслуживание выполняется в зависимости от категории условий эксплуатации. Периодичность технического обслуживания, перечнем выполняемых работ и периодичность проведения приводится в сервисной книжке и руководстве по эксплуатации автомобилей КАМАЗ.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Все виды технического обслуживания имеют индивидуальные перечни операций, т.е. ни одна операция ТО-1 не входит ни в ТО-2, ни в СТО, в свою очередь операции ТО-2 не входят в СТО.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При проведении технического обслуживания допускается выполнение как отдельных видов ТО (ТО-1, ТО-2 или СТО), так и нескольких видов ТО одновременно (ТО-1 и ТО-2; ТО-2 и СТО; ТО-1 и СТО или ТО-1, ТО-2 и СТО).</w:t>
      </w:r>
    </w:p>
    <w:p w:rsidR="000E42D1" w:rsidRPr="000E42D1" w:rsidRDefault="000E42D1" w:rsidP="000E42D1">
      <w:pPr>
        <w:spacing w:before="100" w:beforeAutospacing="1" w:after="230" w:line="230" w:lineRule="atLeast"/>
        <w:textAlignment w:val="top"/>
        <w:rPr>
          <w:rFonts w:ascii="Arial" w:eastAsia="Times New Roman" w:hAnsi="Arial" w:cs="Arial"/>
          <w:color w:val="4A525C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4A525C"/>
          <w:sz w:val="16"/>
          <w:szCs w:val="16"/>
          <w:lang w:eastAsia="ru-RU"/>
        </w:rPr>
        <w:t>В процессе технического обслуживания при необходимости выполняется сопутствующий текущий ремонт, перечень которого указывается в технологических картах, разработанных Научно-техническим центром ПАО «КАМАЗ» и утвержденных Главным конструктором ПАО «КАМАЗ». Общая трудоемкость сопутствующего ремонта не должна превышать 20% от общей трудоемкости соответствующего вида технического обслуживания.</w:t>
      </w:r>
    </w:p>
    <w:p w:rsidR="000E42D1" w:rsidRPr="000E42D1" w:rsidRDefault="000E42D1" w:rsidP="000E42D1">
      <w:pPr>
        <w:spacing w:after="0" w:line="240" w:lineRule="auto"/>
        <w:textAlignment w:val="top"/>
        <w:rPr>
          <w:rFonts w:ascii="Arial" w:eastAsia="Times New Roman" w:hAnsi="Arial" w:cs="Arial"/>
          <w:color w:val="504F4F"/>
          <w:sz w:val="16"/>
          <w:szCs w:val="16"/>
          <w:lang w:eastAsia="ru-RU"/>
        </w:rPr>
      </w:pPr>
      <w:r w:rsidRPr="000E42D1">
        <w:rPr>
          <w:rFonts w:ascii="Arial" w:eastAsia="Times New Roman" w:hAnsi="Arial" w:cs="Arial"/>
          <w:color w:val="504F4F"/>
          <w:sz w:val="16"/>
          <w:szCs w:val="16"/>
          <w:lang w:eastAsia="ru-RU"/>
        </w:rPr>
        <w:t>Сопутствующий ремонт – часть операций текущего (планово предупредительного) ремонта малой трудоемкости и может выполняться совместно с техническим обслуживанием</w:t>
      </w:r>
      <w:r w:rsidR="00F21598">
        <w:rPr>
          <w:rFonts w:ascii="Arial" w:eastAsia="Times New Roman" w:hAnsi="Arial" w:cs="Arial"/>
          <w:color w:val="504F4F"/>
          <w:sz w:val="16"/>
          <w:szCs w:val="16"/>
          <w:lang w:eastAsia="ru-RU"/>
        </w:rPr>
        <w:t>.</w:t>
      </w:r>
      <w:r w:rsidRPr="000E42D1">
        <w:rPr>
          <w:rFonts w:ascii="Arial" w:eastAsia="Times New Roman" w:hAnsi="Arial" w:cs="Arial"/>
          <w:color w:val="504F4F"/>
          <w:sz w:val="16"/>
          <w:szCs w:val="16"/>
          <w:lang w:eastAsia="ru-RU"/>
        </w:rPr>
        <w:t xml:space="preserve"> В перечень работ по сопутствующему ремонту входят замена небольших деталей влияющих на выполнение работ (к </w:t>
      </w:r>
      <w:r w:rsidR="00F21598" w:rsidRPr="000E42D1">
        <w:rPr>
          <w:rFonts w:ascii="Arial" w:eastAsia="Times New Roman" w:hAnsi="Arial" w:cs="Arial"/>
          <w:color w:val="504F4F"/>
          <w:sz w:val="16"/>
          <w:szCs w:val="16"/>
          <w:lang w:eastAsia="ru-RU"/>
        </w:rPr>
        <w:t>примеру,</w:t>
      </w:r>
      <w:r w:rsidRPr="000E42D1">
        <w:rPr>
          <w:rFonts w:ascii="Arial" w:eastAsia="Times New Roman" w:hAnsi="Arial" w:cs="Arial"/>
          <w:color w:val="504F4F"/>
          <w:sz w:val="16"/>
          <w:szCs w:val="16"/>
          <w:lang w:eastAsia="ru-RU"/>
        </w:rPr>
        <w:t xml:space="preserve"> сняли ступицу для смазки подшипников (ТО-2) – рассыпался подшипник – трудоемкость замены и стоимость подшипника входят в состав сопутствующего ремонта или не проходит смазка через пресс-масленки (ТО-1) – замена пресс-масленок </w:t>
      </w:r>
      <w:r w:rsidR="00F21598">
        <w:rPr>
          <w:rFonts w:ascii="Arial" w:eastAsia="Times New Roman" w:hAnsi="Arial" w:cs="Arial"/>
          <w:color w:val="504F4F"/>
          <w:sz w:val="16"/>
          <w:szCs w:val="16"/>
          <w:lang w:eastAsia="ru-RU"/>
        </w:rPr>
        <w:t xml:space="preserve"> </w:t>
      </w:r>
      <w:r w:rsidRPr="000E42D1">
        <w:rPr>
          <w:rFonts w:ascii="Arial" w:eastAsia="Times New Roman" w:hAnsi="Arial" w:cs="Arial"/>
          <w:color w:val="504F4F"/>
          <w:sz w:val="16"/>
          <w:szCs w:val="16"/>
          <w:lang w:eastAsia="ru-RU"/>
        </w:rPr>
        <w:t>–</w:t>
      </w:r>
      <w:r w:rsidR="00F21598">
        <w:rPr>
          <w:rFonts w:ascii="Arial" w:eastAsia="Times New Roman" w:hAnsi="Arial" w:cs="Arial"/>
          <w:color w:val="504F4F"/>
          <w:sz w:val="16"/>
          <w:szCs w:val="16"/>
          <w:lang w:eastAsia="ru-RU"/>
        </w:rPr>
        <w:t xml:space="preserve"> </w:t>
      </w:r>
      <w:r w:rsidRPr="000E42D1">
        <w:rPr>
          <w:rFonts w:ascii="Arial" w:eastAsia="Times New Roman" w:hAnsi="Arial" w:cs="Arial"/>
          <w:color w:val="504F4F"/>
          <w:sz w:val="16"/>
          <w:szCs w:val="16"/>
          <w:lang w:eastAsia="ru-RU"/>
        </w:rPr>
        <w:t>сопутствующей ремонт)</w:t>
      </w:r>
      <w:r w:rsidRPr="000E42D1">
        <w:rPr>
          <w:rFonts w:ascii="Arial" w:eastAsia="Times New Roman" w:hAnsi="Arial" w:cs="Arial"/>
          <w:color w:val="504F4F"/>
          <w:sz w:val="16"/>
          <w:szCs w:val="16"/>
          <w:lang w:eastAsia="ru-RU"/>
        </w:rPr>
        <w:br/>
      </w:r>
    </w:p>
    <w:p w:rsidR="009B69E9" w:rsidRDefault="009B69E9"/>
    <w:sectPr w:rsidR="009B69E9" w:rsidSect="009B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de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42D1"/>
    <w:rsid w:val="000C498E"/>
    <w:rsid w:val="000E42D1"/>
    <w:rsid w:val="0080199F"/>
    <w:rsid w:val="009B69E9"/>
    <w:rsid w:val="00C54C36"/>
    <w:rsid w:val="00F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E9"/>
  </w:style>
  <w:style w:type="paragraph" w:styleId="1">
    <w:name w:val="heading 1"/>
    <w:basedOn w:val="a"/>
    <w:link w:val="10"/>
    <w:uiPriority w:val="9"/>
    <w:qFormat/>
    <w:rsid w:val="000E4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41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2019-09-09T09:34:00Z</dcterms:created>
  <dcterms:modified xsi:type="dcterms:W3CDTF">2019-12-02T14:34:00Z</dcterms:modified>
</cp:coreProperties>
</file>